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6D8A" w14:textId="022600CE" w:rsidR="00FA211B" w:rsidRDefault="00FA211B" w:rsidP="00FA211B">
      <w:pPr>
        <w:jc w:val="center"/>
        <w:rPr>
          <w:b/>
          <w:bCs/>
        </w:rPr>
      </w:pPr>
      <w:r>
        <w:rPr>
          <w:b/>
          <w:bCs/>
        </w:rPr>
        <w:t>ASCC Arts and Humanities 1 Subcommittee</w:t>
      </w:r>
    </w:p>
    <w:p w14:paraId="2DCB2B9F" w14:textId="6F745A58" w:rsidR="00FA211B" w:rsidRDefault="00CE540E" w:rsidP="00FA211B">
      <w:pPr>
        <w:jc w:val="center"/>
      </w:pPr>
      <w:r>
        <w:t>A</w:t>
      </w:r>
      <w:r w:rsidR="00E644EC">
        <w:t xml:space="preserve">pproved </w:t>
      </w:r>
      <w:r w:rsidR="00FA211B">
        <w:t>Minutes</w:t>
      </w:r>
    </w:p>
    <w:p w14:paraId="1C12404B" w14:textId="592129B1" w:rsidR="00FA211B" w:rsidRDefault="00FA211B" w:rsidP="00FA211B">
      <w:r>
        <w:t xml:space="preserve">Tuesday, April </w:t>
      </w:r>
      <w:proofErr w:type="gramStart"/>
      <w:r>
        <w:t>2</w:t>
      </w:r>
      <w:r w:rsidRPr="00FA211B">
        <w:rPr>
          <w:vertAlign w:val="superscript"/>
        </w:rPr>
        <w:t>rd</w:t>
      </w:r>
      <w:proofErr w:type="gramEnd"/>
      <w:r>
        <w:t>, 2024</w:t>
      </w:r>
      <w:r>
        <w:tab/>
      </w:r>
      <w:r>
        <w:tab/>
      </w:r>
      <w:r>
        <w:tab/>
      </w:r>
      <w:r>
        <w:tab/>
      </w:r>
      <w:r>
        <w:tab/>
      </w:r>
      <w:r>
        <w:tab/>
      </w:r>
      <w:r>
        <w:tab/>
      </w:r>
      <w:r>
        <w:tab/>
        <w:t xml:space="preserve">         12:30PM – 2:00PM</w:t>
      </w:r>
    </w:p>
    <w:p w14:paraId="4FC0845C" w14:textId="118DD06E" w:rsidR="00FA211B" w:rsidRDefault="00FA211B" w:rsidP="00FA211B">
      <w:proofErr w:type="spellStart"/>
      <w:r>
        <w:t>CarmenZoom</w:t>
      </w:r>
      <w:proofErr w:type="spellEnd"/>
    </w:p>
    <w:p w14:paraId="7395D90F" w14:textId="77777777" w:rsidR="00FA211B" w:rsidRDefault="00FA211B" w:rsidP="00FA211B"/>
    <w:p w14:paraId="7D1B1E8C" w14:textId="66221205" w:rsidR="00FA211B" w:rsidRDefault="00FA211B" w:rsidP="00FA211B">
      <w:r>
        <w:rPr>
          <w:b/>
          <w:bCs/>
        </w:rPr>
        <w:t xml:space="preserve">Attendees: </w:t>
      </w:r>
      <w:r>
        <w:t>Bitters, Hedgecoth, Hilty, Koehnlein, Smith, Staley, Steele, Troyan, Vankeerbergen</w:t>
      </w:r>
    </w:p>
    <w:p w14:paraId="3F0999D3" w14:textId="77777777" w:rsidR="00FA211B" w:rsidRDefault="00FA211B" w:rsidP="00FA211B"/>
    <w:p w14:paraId="51083BC3" w14:textId="0EB70C0E" w:rsidR="00FA211B" w:rsidRDefault="00FA211B" w:rsidP="00FA211B">
      <w:pPr>
        <w:pStyle w:val="ListParagraph"/>
        <w:numPr>
          <w:ilvl w:val="0"/>
          <w:numId w:val="1"/>
        </w:numPr>
      </w:pPr>
      <w:r>
        <w:t>Approval of 03/19/2024 Minutes</w:t>
      </w:r>
    </w:p>
    <w:p w14:paraId="493658C6" w14:textId="23D4BDA0" w:rsidR="00FA211B" w:rsidRDefault="00FA211B" w:rsidP="00FA211B">
      <w:pPr>
        <w:pStyle w:val="ListParagraph"/>
        <w:numPr>
          <w:ilvl w:val="1"/>
          <w:numId w:val="1"/>
        </w:numPr>
      </w:pPr>
      <w:r>
        <w:t xml:space="preserve">Koehnlein, Troyan, </w:t>
      </w:r>
      <w:r>
        <w:rPr>
          <w:b/>
          <w:bCs/>
        </w:rPr>
        <w:t xml:space="preserve">unanimously </w:t>
      </w:r>
      <w:proofErr w:type="gramStart"/>
      <w:r>
        <w:rPr>
          <w:b/>
          <w:bCs/>
        </w:rPr>
        <w:t>approved</w:t>
      </w:r>
      <w:proofErr w:type="gramEnd"/>
      <w:r>
        <w:rPr>
          <w:b/>
          <w:bCs/>
        </w:rPr>
        <w:t xml:space="preserve"> </w:t>
      </w:r>
    </w:p>
    <w:p w14:paraId="215979B8" w14:textId="601C5B5C" w:rsidR="00FA211B" w:rsidRDefault="00FA211B" w:rsidP="00FA211B">
      <w:pPr>
        <w:pStyle w:val="ListParagraph"/>
        <w:numPr>
          <w:ilvl w:val="0"/>
          <w:numId w:val="1"/>
        </w:numPr>
      </w:pPr>
      <w:r>
        <w:t xml:space="preserve">Music 5591 (existing course requesting 100% DL) </w:t>
      </w:r>
    </w:p>
    <w:p w14:paraId="76870B2F" w14:textId="4D68FE3C" w:rsidR="001C55D1" w:rsidRPr="001C55D1" w:rsidRDefault="001C55D1" w:rsidP="00FA211B">
      <w:pPr>
        <w:pStyle w:val="ListParagraph"/>
        <w:numPr>
          <w:ilvl w:val="1"/>
          <w:numId w:val="1"/>
        </w:numPr>
      </w:pPr>
      <w:r>
        <w:t>The Subcommittee would like to point out that, in their experience, a three hour, once a week Zoom session can be mentally taxing for students, and it may be more beneficial to student engagement if the synchronous course meetings</w:t>
      </w:r>
      <w:r w:rsidR="007443F0">
        <w:t xml:space="preserve"> for the </w:t>
      </w:r>
      <w:proofErr w:type="gramStart"/>
      <w:r w:rsidR="007443F0">
        <w:t>8 week</w:t>
      </w:r>
      <w:proofErr w:type="gramEnd"/>
      <w:r w:rsidR="007443F0">
        <w:t xml:space="preserve"> session</w:t>
      </w:r>
      <w:r>
        <w:t xml:space="preserve"> can take place over two meetings, twice a week instead. Of course, they understand that this may not be possible. </w:t>
      </w:r>
    </w:p>
    <w:p w14:paraId="617A7845" w14:textId="32C0A67A" w:rsidR="00FA211B" w:rsidRPr="00C16AA8" w:rsidRDefault="00FA211B" w:rsidP="00FA211B">
      <w:pPr>
        <w:pStyle w:val="ListParagraph"/>
        <w:numPr>
          <w:ilvl w:val="1"/>
          <w:numId w:val="1"/>
        </w:numPr>
      </w:pPr>
      <w:r w:rsidRPr="00C16AA8">
        <w:rPr>
          <w:b/>
          <w:bCs/>
        </w:rPr>
        <w:t>The Subcommittee asks that the Religious Accommodation statement be updated within the course syllabus. On March 1</w:t>
      </w:r>
      <w:r w:rsidRPr="00C16AA8">
        <w:rPr>
          <w:b/>
          <w:bCs/>
          <w:vertAlign w:val="superscript"/>
        </w:rPr>
        <w:t>st</w:t>
      </w:r>
      <w:r w:rsidRPr="00C16AA8">
        <w:rPr>
          <w:b/>
          <w:bCs/>
        </w:rPr>
        <w:t xml:space="preserve">, 2024, the Arts and Sciences Curriculum Committee updated the required statement to </w:t>
      </w:r>
      <w:proofErr w:type="gramStart"/>
      <w:r w:rsidRPr="00C16AA8">
        <w:rPr>
          <w:b/>
          <w:bCs/>
        </w:rPr>
        <w:t>be in compliance with</w:t>
      </w:r>
      <w:proofErr w:type="gramEnd"/>
      <w:r w:rsidRPr="00C16AA8">
        <w:rPr>
          <w:b/>
          <w:bCs/>
        </w:rPr>
        <w:t xml:space="preserve"> the new statement, which was provided by the Office of Undergraduate Education and vetted by the Office of Legal Affairs. </w:t>
      </w:r>
      <w:r>
        <w:rPr>
          <w:b/>
          <w:bCs/>
        </w:rPr>
        <w:t xml:space="preserve">As a helpful reminder, the link at the end of the statement labeled “Policy: Religious Holidays, Holy Days and Observations” </w:t>
      </w:r>
      <w:r>
        <w:rPr>
          <w:b/>
          <w:bCs/>
          <w:i/>
          <w:iCs/>
        </w:rPr>
        <w:t xml:space="preserve">is </w:t>
      </w:r>
      <w:r>
        <w:rPr>
          <w:b/>
          <w:bCs/>
        </w:rPr>
        <w:t xml:space="preserve">a required part of the statement and must be included. While they note that the statement appears on page 18 of the </w:t>
      </w:r>
      <w:r w:rsidR="007443F0">
        <w:rPr>
          <w:b/>
          <w:bCs/>
        </w:rPr>
        <w:t xml:space="preserve">8-week </w:t>
      </w:r>
      <w:r>
        <w:rPr>
          <w:b/>
          <w:bCs/>
        </w:rPr>
        <w:t>syllabus</w:t>
      </w:r>
      <w:r w:rsidR="007443F0">
        <w:rPr>
          <w:b/>
          <w:bCs/>
        </w:rPr>
        <w:t xml:space="preserve"> and page 23 of the 14-week syllabus</w:t>
      </w:r>
      <w:r>
        <w:rPr>
          <w:b/>
          <w:bCs/>
        </w:rPr>
        <w:t xml:space="preserve">, it is not copied in its entirety. </w:t>
      </w:r>
      <w:r w:rsidRPr="00C16AA8">
        <w:rPr>
          <w:b/>
          <w:bCs/>
        </w:rPr>
        <w:t xml:space="preserve">The newly updated statement </w:t>
      </w:r>
      <w:r>
        <w:rPr>
          <w:b/>
          <w:bCs/>
        </w:rPr>
        <w:t>can be found</w:t>
      </w:r>
      <w:r w:rsidRPr="00C16AA8">
        <w:rPr>
          <w:b/>
          <w:bCs/>
        </w:rPr>
        <w:t xml:space="preserve"> on the </w:t>
      </w:r>
      <w:hyperlink r:id="rId5" w:history="1">
        <w:r w:rsidRPr="00C16AA8">
          <w:rPr>
            <w:rStyle w:val="Hyperlink"/>
            <w:b/>
            <w:bCs/>
          </w:rPr>
          <w:t>syllabus elements page of the ASC Curriculum and Assessment Services website</w:t>
        </w:r>
      </w:hyperlink>
      <w:r w:rsidRPr="00C16AA8">
        <w:rPr>
          <w:b/>
          <w:bCs/>
        </w:rPr>
        <w:t xml:space="preserve">. </w:t>
      </w:r>
    </w:p>
    <w:p w14:paraId="34C70ABA" w14:textId="4ADE799D" w:rsidR="00FA211B" w:rsidRPr="00D94880" w:rsidRDefault="001C55D1" w:rsidP="00FA211B">
      <w:pPr>
        <w:pStyle w:val="ListParagraph"/>
        <w:numPr>
          <w:ilvl w:val="1"/>
          <w:numId w:val="1"/>
        </w:numPr>
      </w:pPr>
      <w:r>
        <w:rPr>
          <w:i/>
          <w:iCs/>
        </w:rPr>
        <w:t>The Subcommittee notices that, on pages 3-4 of the syllabus</w:t>
      </w:r>
      <w:r w:rsidR="007443F0">
        <w:rPr>
          <w:i/>
          <w:iCs/>
        </w:rPr>
        <w:t xml:space="preserve"> of the 8-week syllabus and page 4 of the 14-week syllabus</w:t>
      </w:r>
      <w:r>
        <w:rPr>
          <w:i/>
          <w:iCs/>
        </w:rPr>
        <w:t xml:space="preserve">, Carmen data is going to be utilized as part of participation assessment. They recommend against utilizing this data, if possible, as the analytics features is known to be unreliable and an inaccurate representation of student engagement. Indeed, students </w:t>
      </w:r>
      <w:r w:rsidR="00D94880">
        <w:rPr>
          <w:i/>
          <w:iCs/>
        </w:rPr>
        <w:t xml:space="preserve">may be shown as having many hours of engagement for simply logging into </w:t>
      </w:r>
      <w:proofErr w:type="spellStart"/>
      <w:r w:rsidR="00D94880">
        <w:rPr>
          <w:i/>
          <w:iCs/>
        </w:rPr>
        <w:t>CarmenCanvas</w:t>
      </w:r>
      <w:proofErr w:type="spellEnd"/>
      <w:r w:rsidR="00D94880">
        <w:rPr>
          <w:i/>
          <w:iCs/>
        </w:rPr>
        <w:t xml:space="preserve"> and leaving their browsers open without engaging with the course or its materials. </w:t>
      </w:r>
    </w:p>
    <w:p w14:paraId="2F7A7271" w14:textId="17C4C14D" w:rsidR="00D94880" w:rsidRPr="00D94880" w:rsidRDefault="00D94880" w:rsidP="00FA211B">
      <w:pPr>
        <w:pStyle w:val="ListParagraph"/>
        <w:numPr>
          <w:ilvl w:val="1"/>
          <w:numId w:val="1"/>
        </w:numPr>
      </w:pPr>
      <w:r>
        <w:rPr>
          <w:i/>
          <w:iCs/>
        </w:rPr>
        <w:t>The Subcommittee recommends further breaking down the assignment category table, as found on page 7 of the</w:t>
      </w:r>
      <w:r w:rsidR="00E644EC">
        <w:rPr>
          <w:i/>
          <w:iCs/>
        </w:rPr>
        <w:t xml:space="preserve"> 8-week</w:t>
      </w:r>
      <w:r>
        <w:rPr>
          <w:i/>
          <w:iCs/>
        </w:rPr>
        <w:t xml:space="preserve"> syllabus</w:t>
      </w:r>
      <w:r w:rsidR="00E644EC">
        <w:rPr>
          <w:i/>
          <w:iCs/>
        </w:rPr>
        <w:t xml:space="preserve"> and page 8 of the 14-week syllabus</w:t>
      </w:r>
      <w:r>
        <w:rPr>
          <w:i/>
          <w:iCs/>
        </w:rPr>
        <w:t xml:space="preserve">. Currently, especially given the nature of the assignment descriptions below and the varying point values of each assignment, they believe that students will find this chart to be confusing when attempting to determine how their final grade will be calculated. </w:t>
      </w:r>
    </w:p>
    <w:p w14:paraId="17850428" w14:textId="030D65FA" w:rsidR="00D94880" w:rsidRPr="00D94880" w:rsidRDefault="00D94880" w:rsidP="00FA211B">
      <w:pPr>
        <w:pStyle w:val="ListParagraph"/>
        <w:numPr>
          <w:ilvl w:val="1"/>
          <w:numId w:val="1"/>
        </w:numPr>
      </w:pPr>
      <w:r>
        <w:rPr>
          <w:i/>
          <w:iCs/>
        </w:rPr>
        <w:t xml:space="preserve">The Subcommittee recommends further explaining the ungraded reflection, as found on page 7 of the </w:t>
      </w:r>
      <w:r w:rsidR="00E644EC">
        <w:rPr>
          <w:i/>
          <w:iCs/>
        </w:rPr>
        <w:t xml:space="preserve">8-week </w:t>
      </w:r>
      <w:r>
        <w:rPr>
          <w:i/>
          <w:iCs/>
        </w:rPr>
        <w:t>syllabus</w:t>
      </w:r>
      <w:r w:rsidR="00E644EC">
        <w:rPr>
          <w:i/>
          <w:iCs/>
        </w:rPr>
        <w:t xml:space="preserve"> and page 8 of the 14-week syllabus</w:t>
      </w:r>
      <w:r>
        <w:rPr>
          <w:i/>
          <w:iCs/>
        </w:rPr>
        <w:t xml:space="preserve">. They were unable to see what this reflection will be utilized for within the course and what students will be </w:t>
      </w:r>
      <w:r>
        <w:rPr>
          <w:i/>
          <w:iCs/>
        </w:rPr>
        <w:lastRenderedPageBreak/>
        <w:t xml:space="preserve">expected to reflect upon. Additionally, given that the reflection is ungraded, they wonder if it might be helpful to provide some incentive for a student to complete the assignment, to ensure that students are engaging </w:t>
      </w:r>
      <w:r w:rsidR="00E644EC">
        <w:rPr>
          <w:i/>
          <w:iCs/>
        </w:rPr>
        <w:t xml:space="preserve">in </w:t>
      </w:r>
      <w:r>
        <w:rPr>
          <w:i/>
          <w:iCs/>
        </w:rPr>
        <w:t xml:space="preserve">what is sure to be a pedagogically sound exercise. </w:t>
      </w:r>
    </w:p>
    <w:p w14:paraId="12738E46" w14:textId="2C12BC9E" w:rsidR="00D94880" w:rsidRDefault="00D94880" w:rsidP="00FA211B">
      <w:pPr>
        <w:pStyle w:val="ListParagraph"/>
        <w:numPr>
          <w:ilvl w:val="1"/>
          <w:numId w:val="1"/>
        </w:numPr>
      </w:pPr>
      <w:r>
        <w:t xml:space="preserve">Troyan, Koehnlein, </w:t>
      </w:r>
      <w:r>
        <w:rPr>
          <w:b/>
          <w:bCs/>
        </w:rPr>
        <w:t xml:space="preserve">unanimously approved </w:t>
      </w:r>
      <w:r>
        <w:t xml:space="preserve">with one comment, </w:t>
      </w:r>
      <w:r>
        <w:rPr>
          <w:b/>
          <w:bCs/>
        </w:rPr>
        <w:t xml:space="preserve">one contingency </w:t>
      </w:r>
      <w:r>
        <w:t xml:space="preserve">(in bold above), and </w:t>
      </w:r>
      <w:r>
        <w:rPr>
          <w:i/>
          <w:iCs/>
        </w:rPr>
        <w:t xml:space="preserve">three recommendations </w:t>
      </w:r>
      <w:r>
        <w:t xml:space="preserve">(in italics above) </w:t>
      </w:r>
    </w:p>
    <w:p w14:paraId="164B63D2" w14:textId="5B64D8EC" w:rsidR="00D94880" w:rsidRDefault="00D94880" w:rsidP="00D94880">
      <w:pPr>
        <w:pStyle w:val="ListParagraph"/>
        <w:numPr>
          <w:ilvl w:val="0"/>
          <w:numId w:val="1"/>
        </w:numPr>
      </w:pPr>
      <w:r>
        <w:t>Comparative Studies</w:t>
      </w:r>
      <w:r w:rsidR="00E644EC">
        <w:t xml:space="preserve"> 2350</w:t>
      </w:r>
      <w:r>
        <w:t xml:space="preserve"> &amp; English 2270 (existing cross-listed courses with GEL Cultures and Ideas, GEN Foundations: Historical and Cultural Studies &amp; GEN Foundations: Race, Ethnicity and Gender Diversity; requesting 100% DL) </w:t>
      </w:r>
    </w:p>
    <w:p w14:paraId="38B2925A" w14:textId="004C0568" w:rsidR="00D94880" w:rsidRPr="00673049" w:rsidRDefault="00D94880" w:rsidP="00D94880">
      <w:pPr>
        <w:pStyle w:val="ListParagraph"/>
        <w:numPr>
          <w:ilvl w:val="1"/>
          <w:numId w:val="1"/>
        </w:numPr>
      </w:pPr>
      <w:r>
        <w:rPr>
          <w:b/>
          <w:bCs/>
        </w:rPr>
        <w:t xml:space="preserve">The Subcommittee asks that the GEL Cultures &amp; Ideas </w:t>
      </w:r>
      <w:r w:rsidR="00673049">
        <w:rPr>
          <w:b/>
          <w:bCs/>
        </w:rPr>
        <w:t xml:space="preserve">Goals, ELOs, and explanatory paragraph be added to the course syllabus. As a reminder the GEL Goals and ELOs can be found on the </w:t>
      </w:r>
      <w:hyperlink r:id="rId6" w:history="1">
        <w:r w:rsidR="00673049" w:rsidRPr="00673049">
          <w:rPr>
            <w:rStyle w:val="Hyperlink"/>
            <w:b/>
            <w:bCs/>
          </w:rPr>
          <w:t>ASC Curriculum and Assessment Services website</w:t>
        </w:r>
      </w:hyperlink>
      <w:r w:rsidR="00673049">
        <w:rPr>
          <w:b/>
          <w:bCs/>
        </w:rPr>
        <w:t xml:space="preserve">. Additionally, the Subcommittee asks that the GEN Historical and Cultural Studies Goals, ELOs, and explanatory paragraph be added to the course syllabus. As a reminder, the GEN Goals and ELOs can be found on the </w:t>
      </w:r>
      <w:hyperlink r:id="rId7" w:history="1">
        <w:r w:rsidR="00673049" w:rsidRPr="00673049">
          <w:rPr>
            <w:rStyle w:val="Hyperlink"/>
            <w:b/>
            <w:bCs/>
          </w:rPr>
          <w:t>ASC Curriculum and Assessment Services website</w:t>
        </w:r>
      </w:hyperlink>
      <w:r w:rsidR="00673049">
        <w:rPr>
          <w:b/>
          <w:bCs/>
        </w:rPr>
        <w:t xml:space="preserve">. </w:t>
      </w:r>
    </w:p>
    <w:p w14:paraId="5B8B04E9" w14:textId="2BD3AF97" w:rsidR="00363CEB" w:rsidRPr="00C16AA8" w:rsidRDefault="00363CEB" w:rsidP="00363CEB">
      <w:pPr>
        <w:pStyle w:val="ListParagraph"/>
        <w:numPr>
          <w:ilvl w:val="1"/>
          <w:numId w:val="1"/>
        </w:numPr>
      </w:pPr>
      <w:r w:rsidRPr="00C16AA8">
        <w:rPr>
          <w:b/>
          <w:bCs/>
        </w:rPr>
        <w:t>The Subcommittee asks that the Religious Accommodation statement be updated within the course syllabus. On March 1</w:t>
      </w:r>
      <w:r w:rsidRPr="00C16AA8">
        <w:rPr>
          <w:b/>
          <w:bCs/>
          <w:vertAlign w:val="superscript"/>
        </w:rPr>
        <w:t>st</w:t>
      </w:r>
      <w:r w:rsidRPr="00C16AA8">
        <w:rPr>
          <w:b/>
          <w:bCs/>
        </w:rPr>
        <w:t xml:space="preserve">, 2024, the Arts and Sciences Curriculum Committee updated the required statement to </w:t>
      </w:r>
      <w:proofErr w:type="gramStart"/>
      <w:r w:rsidRPr="00C16AA8">
        <w:rPr>
          <w:b/>
          <w:bCs/>
        </w:rPr>
        <w:t>be in compliance with</w:t>
      </w:r>
      <w:proofErr w:type="gramEnd"/>
      <w:r w:rsidRPr="00C16AA8">
        <w:rPr>
          <w:b/>
          <w:bCs/>
        </w:rPr>
        <w:t xml:space="preserve"> the new statement, which was provided by the Office of Undergraduate Education and vetted by the Office of Legal Affairs. </w:t>
      </w:r>
      <w:r>
        <w:rPr>
          <w:b/>
          <w:bCs/>
        </w:rPr>
        <w:t xml:space="preserve">As a helpful reminder, the link at the end of the statement labeled “Policy: Religious Holidays, Holy Days and Observations” </w:t>
      </w:r>
      <w:r>
        <w:rPr>
          <w:b/>
          <w:bCs/>
          <w:i/>
          <w:iCs/>
        </w:rPr>
        <w:t xml:space="preserve">is </w:t>
      </w:r>
      <w:r>
        <w:rPr>
          <w:b/>
          <w:bCs/>
        </w:rPr>
        <w:t xml:space="preserve">a required part of the statement and must be included. While they note that the statement appears on pages 20-22 of the syllabus, it is not copied in its entirety as the required link is not present. </w:t>
      </w:r>
      <w:r w:rsidRPr="00C16AA8">
        <w:rPr>
          <w:b/>
          <w:bCs/>
        </w:rPr>
        <w:t xml:space="preserve">The newly updated statement </w:t>
      </w:r>
      <w:r>
        <w:rPr>
          <w:b/>
          <w:bCs/>
        </w:rPr>
        <w:t>can be found</w:t>
      </w:r>
      <w:r w:rsidRPr="00C16AA8">
        <w:rPr>
          <w:b/>
          <w:bCs/>
        </w:rPr>
        <w:t xml:space="preserve"> on the </w:t>
      </w:r>
      <w:hyperlink r:id="rId8" w:history="1">
        <w:r w:rsidRPr="00C16AA8">
          <w:rPr>
            <w:rStyle w:val="Hyperlink"/>
            <w:b/>
            <w:bCs/>
          </w:rPr>
          <w:t>syllabus elements page of the ASC Curriculum and Assessment Services website</w:t>
        </w:r>
      </w:hyperlink>
      <w:r w:rsidRPr="00C16AA8">
        <w:rPr>
          <w:b/>
          <w:bCs/>
        </w:rPr>
        <w:t xml:space="preserve">. </w:t>
      </w:r>
    </w:p>
    <w:p w14:paraId="63952BE4" w14:textId="2199A7F6" w:rsidR="00673049" w:rsidRDefault="00363CEB" w:rsidP="00D94880">
      <w:pPr>
        <w:pStyle w:val="ListParagraph"/>
        <w:numPr>
          <w:ilvl w:val="1"/>
          <w:numId w:val="1"/>
        </w:numPr>
      </w:pPr>
      <w:r>
        <w:t xml:space="preserve">Hedgecoth, Koehnlein, </w:t>
      </w:r>
      <w:r>
        <w:rPr>
          <w:b/>
          <w:bCs/>
        </w:rPr>
        <w:t xml:space="preserve">unanimously approved </w:t>
      </w:r>
      <w:r>
        <w:t xml:space="preserve">with </w:t>
      </w:r>
      <w:r>
        <w:rPr>
          <w:b/>
          <w:bCs/>
        </w:rPr>
        <w:t xml:space="preserve">two contingencies </w:t>
      </w:r>
      <w:r>
        <w:t xml:space="preserve">(in bold above) </w:t>
      </w:r>
    </w:p>
    <w:p w14:paraId="4529C05C" w14:textId="4F280F3E" w:rsidR="00363CEB" w:rsidRDefault="00363CEB" w:rsidP="00363CEB">
      <w:pPr>
        <w:pStyle w:val="ListParagraph"/>
        <w:numPr>
          <w:ilvl w:val="0"/>
          <w:numId w:val="1"/>
        </w:numPr>
      </w:pPr>
      <w:r>
        <w:t xml:space="preserve">History 3676 (existing course with GEN Theme: Citizenship for a Diverse and Just world; requesting 100% DL) </w:t>
      </w:r>
    </w:p>
    <w:p w14:paraId="7DEE9604" w14:textId="7380B90D" w:rsidR="00363CEB" w:rsidRPr="00C16AA8" w:rsidRDefault="00363CEB" w:rsidP="00363CEB">
      <w:pPr>
        <w:pStyle w:val="ListParagraph"/>
        <w:numPr>
          <w:ilvl w:val="1"/>
          <w:numId w:val="1"/>
        </w:numPr>
      </w:pPr>
      <w:r w:rsidRPr="00C16AA8">
        <w:rPr>
          <w:b/>
          <w:bCs/>
        </w:rPr>
        <w:t>The Subcommittee asks that the Religious Accommodation statement be updated within the course syllabus. On March 1</w:t>
      </w:r>
      <w:r w:rsidRPr="00C16AA8">
        <w:rPr>
          <w:b/>
          <w:bCs/>
          <w:vertAlign w:val="superscript"/>
        </w:rPr>
        <w:t>st</w:t>
      </w:r>
      <w:r w:rsidRPr="00C16AA8">
        <w:rPr>
          <w:b/>
          <w:bCs/>
        </w:rPr>
        <w:t xml:space="preserve">, 2024, the Arts and Sciences Curriculum Committee updated the required statement to </w:t>
      </w:r>
      <w:proofErr w:type="gramStart"/>
      <w:r w:rsidRPr="00C16AA8">
        <w:rPr>
          <w:b/>
          <w:bCs/>
        </w:rPr>
        <w:t>be in compliance with</w:t>
      </w:r>
      <w:proofErr w:type="gramEnd"/>
      <w:r w:rsidRPr="00C16AA8">
        <w:rPr>
          <w:b/>
          <w:bCs/>
        </w:rPr>
        <w:t xml:space="preserve"> the new statement, which was provided by the Office of Undergraduate Education and vetted by the Office of Legal Affairs. </w:t>
      </w:r>
      <w:r>
        <w:rPr>
          <w:b/>
          <w:bCs/>
        </w:rPr>
        <w:t xml:space="preserve">As a helpful reminder, the link at the end of the statement labeled “Policy: Religious Holidays, Holy Days and Observations” </w:t>
      </w:r>
      <w:r>
        <w:rPr>
          <w:b/>
          <w:bCs/>
          <w:i/>
          <w:iCs/>
        </w:rPr>
        <w:t xml:space="preserve">is </w:t>
      </w:r>
      <w:r>
        <w:rPr>
          <w:b/>
          <w:bCs/>
        </w:rPr>
        <w:t xml:space="preserve">a required part of the statement and must be included. While they note that the statement appears on pages 18-19 of the syllabus, it is not copied in its entirety as the required link is not present. </w:t>
      </w:r>
      <w:r w:rsidRPr="00C16AA8">
        <w:rPr>
          <w:b/>
          <w:bCs/>
        </w:rPr>
        <w:t xml:space="preserve">The newly updated statement </w:t>
      </w:r>
      <w:r>
        <w:rPr>
          <w:b/>
          <w:bCs/>
        </w:rPr>
        <w:t>can be found</w:t>
      </w:r>
      <w:r w:rsidRPr="00C16AA8">
        <w:rPr>
          <w:b/>
          <w:bCs/>
        </w:rPr>
        <w:t xml:space="preserve"> on the </w:t>
      </w:r>
      <w:hyperlink r:id="rId9" w:history="1">
        <w:r w:rsidRPr="00C16AA8">
          <w:rPr>
            <w:rStyle w:val="Hyperlink"/>
            <w:b/>
            <w:bCs/>
          </w:rPr>
          <w:t>syllabus elements page of the ASC Curriculum and Assessment Services website</w:t>
        </w:r>
      </w:hyperlink>
      <w:r w:rsidRPr="00C16AA8">
        <w:rPr>
          <w:b/>
          <w:bCs/>
        </w:rPr>
        <w:t xml:space="preserve">. </w:t>
      </w:r>
    </w:p>
    <w:p w14:paraId="27A84994" w14:textId="6D7AFE96" w:rsidR="00363CEB" w:rsidRDefault="009D3134" w:rsidP="00363CEB">
      <w:pPr>
        <w:pStyle w:val="ListParagraph"/>
        <w:numPr>
          <w:ilvl w:val="1"/>
          <w:numId w:val="1"/>
        </w:numPr>
      </w:pPr>
      <w:r>
        <w:t xml:space="preserve">Hedgecoth, Troyan, </w:t>
      </w:r>
      <w:r>
        <w:rPr>
          <w:b/>
          <w:bCs/>
        </w:rPr>
        <w:t xml:space="preserve">unanimously approved </w:t>
      </w:r>
      <w:r>
        <w:t xml:space="preserve">with </w:t>
      </w:r>
      <w:r>
        <w:rPr>
          <w:b/>
          <w:bCs/>
        </w:rPr>
        <w:t xml:space="preserve">one contingency </w:t>
      </w:r>
      <w:r>
        <w:t xml:space="preserve">(in bold above) </w:t>
      </w:r>
    </w:p>
    <w:p w14:paraId="7B9833F3" w14:textId="549798B3" w:rsidR="009D3134" w:rsidRDefault="009D3134" w:rsidP="009D3134">
      <w:pPr>
        <w:pStyle w:val="ListParagraph"/>
        <w:numPr>
          <w:ilvl w:val="0"/>
          <w:numId w:val="1"/>
        </w:numPr>
      </w:pPr>
      <w:r>
        <w:t xml:space="preserve">Music 2471 (new course) </w:t>
      </w:r>
    </w:p>
    <w:p w14:paraId="3037521D" w14:textId="5555E79E" w:rsidR="009D3134" w:rsidRPr="00C16AA8" w:rsidRDefault="009D3134" w:rsidP="009D3134">
      <w:pPr>
        <w:pStyle w:val="ListParagraph"/>
        <w:numPr>
          <w:ilvl w:val="1"/>
          <w:numId w:val="1"/>
        </w:numPr>
      </w:pPr>
      <w:r w:rsidRPr="00C16AA8">
        <w:rPr>
          <w:b/>
          <w:bCs/>
        </w:rPr>
        <w:t>The Subcommittee asks that the Religious Accommodation statement be updated within the course syllabus. On March 1</w:t>
      </w:r>
      <w:r w:rsidRPr="00C16AA8">
        <w:rPr>
          <w:b/>
          <w:bCs/>
          <w:vertAlign w:val="superscript"/>
        </w:rPr>
        <w:t>st</w:t>
      </w:r>
      <w:r w:rsidRPr="00C16AA8">
        <w:rPr>
          <w:b/>
          <w:bCs/>
        </w:rPr>
        <w:t xml:space="preserve">, 2024, the Arts and Sciences Curriculum Committee updated the required statement to </w:t>
      </w:r>
      <w:proofErr w:type="gramStart"/>
      <w:r w:rsidRPr="00C16AA8">
        <w:rPr>
          <w:b/>
          <w:bCs/>
        </w:rPr>
        <w:t>be in compliance with</w:t>
      </w:r>
      <w:proofErr w:type="gramEnd"/>
      <w:r w:rsidRPr="00C16AA8">
        <w:rPr>
          <w:b/>
          <w:bCs/>
        </w:rPr>
        <w:t xml:space="preserve"> the new statement, which was provided by the Office of Undergraduate Education and vetted </w:t>
      </w:r>
      <w:r w:rsidRPr="00C16AA8">
        <w:rPr>
          <w:b/>
          <w:bCs/>
        </w:rPr>
        <w:lastRenderedPageBreak/>
        <w:t xml:space="preserve">by the Office of Legal Affairs. </w:t>
      </w:r>
      <w:r>
        <w:rPr>
          <w:b/>
          <w:bCs/>
        </w:rPr>
        <w:t xml:space="preserve">As a helpful reminder, the link at the end of the statement labeled “Policy: Religious Holidays, Holy Days and Observations” </w:t>
      </w:r>
      <w:r>
        <w:rPr>
          <w:b/>
          <w:bCs/>
          <w:i/>
          <w:iCs/>
        </w:rPr>
        <w:t xml:space="preserve">is </w:t>
      </w:r>
      <w:r>
        <w:rPr>
          <w:b/>
          <w:bCs/>
        </w:rPr>
        <w:t xml:space="preserve">a required part of the statement and must be included. </w:t>
      </w:r>
      <w:r w:rsidRPr="00C16AA8">
        <w:rPr>
          <w:b/>
          <w:bCs/>
        </w:rPr>
        <w:t xml:space="preserve">The newly updated statement </w:t>
      </w:r>
      <w:r>
        <w:rPr>
          <w:b/>
          <w:bCs/>
        </w:rPr>
        <w:t>can be found</w:t>
      </w:r>
      <w:r w:rsidRPr="00C16AA8">
        <w:rPr>
          <w:b/>
          <w:bCs/>
        </w:rPr>
        <w:t xml:space="preserve"> on the </w:t>
      </w:r>
      <w:hyperlink r:id="rId10" w:history="1">
        <w:r w:rsidRPr="00C16AA8">
          <w:rPr>
            <w:rStyle w:val="Hyperlink"/>
            <w:b/>
            <w:bCs/>
          </w:rPr>
          <w:t>syllabus elements page of the ASC Curriculum and Assessment Services website</w:t>
        </w:r>
      </w:hyperlink>
      <w:r w:rsidRPr="00C16AA8">
        <w:rPr>
          <w:b/>
          <w:bCs/>
        </w:rPr>
        <w:t xml:space="preserve">. </w:t>
      </w:r>
    </w:p>
    <w:p w14:paraId="1A440B7D" w14:textId="340DC950" w:rsidR="009D3134" w:rsidRPr="00DF0FE2" w:rsidRDefault="009D3134" w:rsidP="009D3134">
      <w:pPr>
        <w:pStyle w:val="ListParagraph"/>
        <w:numPr>
          <w:ilvl w:val="1"/>
          <w:numId w:val="1"/>
        </w:numPr>
      </w:pPr>
      <w:r>
        <w:rPr>
          <w:i/>
          <w:iCs/>
        </w:rPr>
        <w:t xml:space="preserve">The Subcommittee recommends reorganizing the information on the course syllabus to appear into a more student-friendly manner. For example, it may be helpful for students to place the brief grade percentage breakdown (as found on page 10) </w:t>
      </w:r>
      <w:r w:rsidR="00DF0FE2">
        <w:rPr>
          <w:i/>
          <w:iCs/>
        </w:rPr>
        <w:t xml:space="preserve">before the descriptions of course assignments. Additionally, it is typically useful for students to place the course calendar after the listing of assignments. However, the Subcommittee </w:t>
      </w:r>
      <w:r w:rsidR="00E644EC">
        <w:rPr>
          <w:i/>
          <w:iCs/>
        </w:rPr>
        <w:t xml:space="preserve">recognizes </w:t>
      </w:r>
      <w:r w:rsidR="00DF0FE2">
        <w:rPr>
          <w:i/>
          <w:iCs/>
        </w:rPr>
        <w:t xml:space="preserve">there may be pedagogical or stylistic reasons for the current design of the calendar, and only offers this as a friendly recommendation. </w:t>
      </w:r>
    </w:p>
    <w:p w14:paraId="18E7FA88" w14:textId="2CA46C84" w:rsidR="00DF0FE2" w:rsidRPr="00DF0FE2" w:rsidRDefault="00DF0FE2" w:rsidP="009D3134">
      <w:pPr>
        <w:pStyle w:val="ListParagraph"/>
        <w:numPr>
          <w:ilvl w:val="1"/>
          <w:numId w:val="1"/>
        </w:numPr>
      </w:pPr>
      <w:r>
        <w:rPr>
          <w:i/>
          <w:iCs/>
        </w:rPr>
        <w:t xml:space="preserve">The Subcommittee recommends updating the Mental Health statement, as it was recently updated for the 2023-2024 academic year. The most up-to-date statement can be found on the </w:t>
      </w:r>
      <w:hyperlink r:id="rId11" w:history="1">
        <w:r w:rsidRPr="00DF0FE2">
          <w:rPr>
            <w:rStyle w:val="Hyperlink"/>
            <w:i/>
            <w:iCs/>
          </w:rPr>
          <w:t>ASC Curriculum and Assessment Services website</w:t>
        </w:r>
      </w:hyperlink>
      <w:r>
        <w:rPr>
          <w:i/>
          <w:iCs/>
        </w:rPr>
        <w:t xml:space="preserve">. </w:t>
      </w:r>
    </w:p>
    <w:p w14:paraId="530E22ED" w14:textId="54ABF7A4" w:rsidR="00DF0FE2" w:rsidRDefault="00DF0FE2" w:rsidP="009D3134">
      <w:pPr>
        <w:pStyle w:val="ListParagraph"/>
        <w:numPr>
          <w:ilvl w:val="1"/>
          <w:numId w:val="1"/>
        </w:numPr>
      </w:pPr>
      <w:r>
        <w:t xml:space="preserve">Koehnlein, Troyan,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 xml:space="preserve">(in italics above) </w:t>
      </w:r>
    </w:p>
    <w:p w14:paraId="3E3F3E49" w14:textId="0458620C" w:rsidR="00DF0FE2" w:rsidRDefault="00DF0FE2" w:rsidP="00DF0FE2">
      <w:pPr>
        <w:pStyle w:val="ListParagraph"/>
        <w:numPr>
          <w:ilvl w:val="0"/>
          <w:numId w:val="1"/>
        </w:numPr>
      </w:pPr>
      <w:r>
        <w:t xml:space="preserve">Music 2201.35 (new course) </w:t>
      </w:r>
    </w:p>
    <w:p w14:paraId="42315C95" w14:textId="77777777" w:rsidR="00C86BF0" w:rsidRPr="00C86BF0" w:rsidRDefault="00DF0FE2" w:rsidP="00DF0FE2">
      <w:pPr>
        <w:pStyle w:val="ListParagraph"/>
        <w:numPr>
          <w:ilvl w:val="1"/>
          <w:numId w:val="1"/>
        </w:numPr>
      </w:pPr>
      <w:r>
        <w:rPr>
          <w:b/>
          <w:bCs/>
        </w:rPr>
        <w:t>The Subcommittee noticed that the course instructor provided their personal, Gmail account as an option to communicate with students on page 1 of the syllabus. They ask that this option and email address be removed from the course syllabus, as it is a violation of the university’s Informational Security Control Requirements to communicate with students outside of the official university email system</w:t>
      </w:r>
      <w:r w:rsidR="00C86BF0">
        <w:rPr>
          <w:b/>
          <w:bCs/>
        </w:rPr>
        <w:t xml:space="preserve"> because all FERPA data is classified as “S3” or Private Institutional Data, and only the university’s Office365 email system has been risk accessed and approved at the S3 level by Enterprise Security. </w:t>
      </w:r>
    </w:p>
    <w:p w14:paraId="3B26E9DB" w14:textId="43AA361B" w:rsidR="00C86BF0" w:rsidRPr="00C16AA8" w:rsidRDefault="00C86BF0" w:rsidP="00C86BF0">
      <w:pPr>
        <w:pStyle w:val="ListParagraph"/>
        <w:numPr>
          <w:ilvl w:val="1"/>
          <w:numId w:val="1"/>
        </w:numPr>
      </w:pPr>
      <w:r w:rsidRPr="00C16AA8">
        <w:rPr>
          <w:b/>
          <w:bCs/>
        </w:rPr>
        <w:t>The Subcommittee asks that the Religious Accommodation statement be updated within the course syllabus. On March 1</w:t>
      </w:r>
      <w:r w:rsidRPr="00C16AA8">
        <w:rPr>
          <w:b/>
          <w:bCs/>
          <w:vertAlign w:val="superscript"/>
        </w:rPr>
        <w:t>st</w:t>
      </w:r>
      <w:r w:rsidRPr="00C16AA8">
        <w:rPr>
          <w:b/>
          <w:bCs/>
        </w:rPr>
        <w:t xml:space="preserve">, 2024, the Arts and Sciences Curriculum Committee updated the required statement to </w:t>
      </w:r>
      <w:proofErr w:type="gramStart"/>
      <w:r w:rsidRPr="00C16AA8">
        <w:rPr>
          <w:b/>
          <w:bCs/>
        </w:rPr>
        <w:t>be in compliance with</w:t>
      </w:r>
      <w:proofErr w:type="gramEnd"/>
      <w:r w:rsidRPr="00C16AA8">
        <w:rPr>
          <w:b/>
          <w:bCs/>
        </w:rPr>
        <w:t xml:space="preserve"> the new statement, which was provided by the Office of Undergraduate Education and vetted by the Office of Legal Affairs. </w:t>
      </w:r>
      <w:r>
        <w:rPr>
          <w:b/>
          <w:bCs/>
        </w:rPr>
        <w:t xml:space="preserve">As a helpful reminder, the link at the end of the statement labeled “Policy: Religious Holidays, Holy Days and Observations” </w:t>
      </w:r>
      <w:r>
        <w:rPr>
          <w:b/>
          <w:bCs/>
          <w:i/>
          <w:iCs/>
        </w:rPr>
        <w:t xml:space="preserve">is </w:t>
      </w:r>
      <w:r>
        <w:rPr>
          <w:b/>
          <w:bCs/>
        </w:rPr>
        <w:t xml:space="preserve">a required part of the statement and must be included. </w:t>
      </w:r>
      <w:r w:rsidRPr="00C16AA8">
        <w:rPr>
          <w:b/>
          <w:bCs/>
        </w:rPr>
        <w:t xml:space="preserve">The newly updated statement </w:t>
      </w:r>
      <w:r>
        <w:rPr>
          <w:b/>
          <w:bCs/>
        </w:rPr>
        <w:t>can be found</w:t>
      </w:r>
      <w:r w:rsidRPr="00C16AA8">
        <w:rPr>
          <w:b/>
          <w:bCs/>
        </w:rPr>
        <w:t xml:space="preserve"> on the </w:t>
      </w:r>
      <w:hyperlink r:id="rId12" w:history="1">
        <w:r w:rsidRPr="00C16AA8">
          <w:rPr>
            <w:rStyle w:val="Hyperlink"/>
            <w:b/>
            <w:bCs/>
          </w:rPr>
          <w:t>syllabus elements page of the ASC Curriculum and Assessment Services website</w:t>
        </w:r>
      </w:hyperlink>
      <w:r w:rsidRPr="00C16AA8">
        <w:rPr>
          <w:b/>
          <w:bCs/>
        </w:rPr>
        <w:t xml:space="preserve">. </w:t>
      </w:r>
    </w:p>
    <w:p w14:paraId="5F884736" w14:textId="538DAC68" w:rsidR="00DF0FE2" w:rsidRPr="00C86BF0" w:rsidRDefault="00C86BF0" w:rsidP="00DF0FE2">
      <w:pPr>
        <w:pStyle w:val="ListParagraph"/>
        <w:numPr>
          <w:ilvl w:val="1"/>
          <w:numId w:val="1"/>
        </w:numPr>
      </w:pPr>
      <w:r>
        <w:rPr>
          <w:i/>
          <w:iCs/>
        </w:rPr>
        <w:t xml:space="preserve">The Subcommittee recommends including the date and time of the Guitar Studio within the course syllabus. </w:t>
      </w:r>
    </w:p>
    <w:p w14:paraId="34A0B39F" w14:textId="64EE0BB1" w:rsidR="00C86BF0" w:rsidRPr="00C86BF0" w:rsidRDefault="00C86BF0" w:rsidP="00DF0FE2">
      <w:pPr>
        <w:pStyle w:val="ListParagraph"/>
        <w:numPr>
          <w:ilvl w:val="1"/>
          <w:numId w:val="1"/>
        </w:numPr>
      </w:pPr>
      <w:r>
        <w:rPr>
          <w:i/>
          <w:iCs/>
        </w:rPr>
        <w:t xml:space="preserve">The Subcommittee recommends providing additional clarity in the course description that students will engage with electric guitar lessons. </w:t>
      </w:r>
    </w:p>
    <w:p w14:paraId="03CAEC90" w14:textId="0FF0E353" w:rsidR="00C86BF0" w:rsidRPr="00C86BF0" w:rsidRDefault="00C86BF0" w:rsidP="00DF0FE2">
      <w:pPr>
        <w:pStyle w:val="ListParagraph"/>
        <w:numPr>
          <w:ilvl w:val="1"/>
          <w:numId w:val="1"/>
        </w:numPr>
      </w:pPr>
      <w:r>
        <w:rPr>
          <w:i/>
          <w:iCs/>
        </w:rPr>
        <w:t xml:space="preserve">The Subcommittee recommends providing additional clarity </w:t>
      </w:r>
      <w:r w:rsidR="00160564">
        <w:rPr>
          <w:i/>
          <w:iCs/>
        </w:rPr>
        <w:t xml:space="preserve">within the course syllabus </w:t>
      </w:r>
      <w:r>
        <w:rPr>
          <w:i/>
          <w:iCs/>
        </w:rPr>
        <w:t>surrounding how student preparation</w:t>
      </w:r>
      <w:r w:rsidR="00E644EC">
        <w:rPr>
          <w:i/>
          <w:iCs/>
        </w:rPr>
        <w:t>s</w:t>
      </w:r>
      <w:r>
        <w:rPr>
          <w:i/>
          <w:iCs/>
        </w:rPr>
        <w:t xml:space="preserve"> are being assessed. It may be helpful to provide an example within the syllabus to showcase to students their expectations. </w:t>
      </w:r>
    </w:p>
    <w:p w14:paraId="26F21144" w14:textId="54417897" w:rsidR="00C86BF0" w:rsidRPr="00C86BF0" w:rsidRDefault="00C86BF0" w:rsidP="00DF0FE2">
      <w:pPr>
        <w:pStyle w:val="ListParagraph"/>
        <w:numPr>
          <w:ilvl w:val="1"/>
          <w:numId w:val="1"/>
        </w:numPr>
      </w:pPr>
      <w:r>
        <w:rPr>
          <w:i/>
          <w:iCs/>
        </w:rPr>
        <w:lastRenderedPageBreak/>
        <w:t xml:space="preserve">The Subcommittee recommends removing the paragraph underneath the “Accessibility” heading on page 5 of the syllabus. This statement is </w:t>
      </w:r>
      <w:proofErr w:type="gramStart"/>
      <w:r>
        <w:rPr>
          <w:i/>
          <w:iCs/>
        </w:rPr>
        <w:t>actually an</w:t>
      </w:r>
      <w:proofErr w:type="gramEnd"/>
      <w:r>
        <w:rPr>
          <w:i/>
          <w:iCs/>
        </w:rPr>
        <w:t xml:space="preserve"> outdated version of the Student Life – Disability Services statement which is on page 4 of the syllabus. </w:t>
      </w:r>
    </w:p>
    <w:p w14:paraId="55D01000" w14:textId="77777777" w:rsidR="00CC457E" w:rsidRPr="00DF0FE2" w:rsidRDefault="00CC457E" w:rsidP="00CC457E">
      <w:pPr>
        <w:pStyle w:val="ListParagraph"/>
        <w:numPr>
          <w:ilvl w:val="1"/>
          <w:numId w:val="1"/>
        </w:numPr>
      </w:pPr>
      <w:r>
        <w:rPr>
          <w:i/>
          <w:iCs/>
        </w:rPr>
        <w:t xml:space="preserve">The Subcommittee recommends updating the Mental Health statement, as it was recently updated for the 2023-2024 academic year. The most up-to-date statement can be found on the </w:t>
      </w:r>
      <w:hyperlink r:id="rId13" w:history="1">
        <w:r w:rsidRPr="00DF0FE2">
          <w:rPr>
            <w:rStyle w:val="Hyperlink"/>
            <w:i/>
            <w:iCs/>
          </w:rPr>
          <w:t>ASC Curriculum and Assessment Services website</w:t>
        </w:r>
      </w:hyperlink>
      <w:r>
        <w:rPr>
          <w:i/>
          <w:iCs/>
        </w:rPr>
        <w:t xml:space="preserve">. </w:t>
      </w:r>
    </w:p>
    <w:p w14:paraId="4298AC25" w14:textId="326D7E16" w:rsidR="00C86BF0" w:rsidRDefault="00CC457E" w:rsidP="00DF0FE2">
      <w:pPr>
        <w:pStyle w:val="ListParagraph"/>
        <w:numPr>
          <w:ilvl w:val="1"/>
          <w:numId w:val="1"/>
        </w:numPr>
      </w:pPr>
      <w:r>
        <w:t xml:space="preserve">Troyan, Koehnlein, </w:t>
      </w:r>
      <w:r>
        <w:rPr>
          <w:b/>
          <w:bCs/>
        </w:rPr>
        <w:t xml:space="preserve">unanimously approved </w:t>
      </w:r>
      <w:r>
        <w:t xml:space="preserve">with </w:t>
      </w:r>
      <w:r>
        <w:rPr>
          <w:b/>
          <w:bCs/>
        </w:rPr>
        <w:t xml:space="preserve">two contingencies </w:t>
      </w:r>
      <w:r>
        <w:t xml:space="preserve">(in bold above) and </w:t>
      </w:r>
      <w:r>
        <w:rPr>
          <w:i/>
          <w:iCs/>
        </w:rPr>
        <w:t xml:space="preserve">five recommendations </w:t>
      </w:r>
      <w:r>
        <w:t xml:space="preserve">(in italics above) </w:t>
      </w:r>
    </w:p>
    <w:p w14:paraId="445B2980" w14:textId="34101440" w:rsidR="00CC457E" w:rsidRDefault="00CC457E" w:rsidP="00CC457E">
      <w:pPr>
        <w:pStyle w:val="ListParagraph"/>
        <w:numPr>
          <w:ilvl w:val="0"/>
          <w:numId w:val="1"/>
        </w:numPr>
      </w:pPr>
      <w:r>
        <w:t>Revision to the Studio Art Minor</w:t>
      </w:r>
    </w:p>
    <w:p w14:paraId="70169F68" w14:textId="7867E2FA" w:rsidR="00CC457E" w:rsidRDefault="006B4C1A" w:rsidP="00CC457E">
      <w:pPr>
        <w:pStyle w:val="ListParagraph"/>
        <w:numPr>
          <w:ilvl w:val="1"/>
          <w:numId w:val="1"/>
        </w:numPr>
      </w:pPr>
      <w:r>
        <w:t xml:space="preserve">The Subcommittee noticed the following small administrative errors that they ask </w:t>
      </w:r>
      <w:proofErr w:type="gramStart"/>
      <w:r>
        <w:t>be</w:t>
      </w:r>
      <w:proofErr w:type="gramEnd"/>
      <w:r>
        <w:t xml:space="preserve"> corrected prior to the proposal being advanced to the full ASCC: </w:t>
      </w:r>
    </w:p>
    <w:p w14:paraId="52E7AB64" w14:textId="74767BBF" w:rsidR="006B4C1A" w:rsidRDefault="006B4C1A" w:rsidP="006B4C1A">
      <w:pPr>
        <w:pStyle w:val="ListParagraph"/>
        <w:numPr>
          <w:ilvl w:val="2"/>
          <w:numId w:val="1"/>
        </w:numPr>
      </w:pPr>
      <w:r>
        <w:t xml:space="preserve">Art 2100 should be listed as 2100(E) to account for the Honors Embedded version of the </w:t>
      </w:r>
      <w:proofErr w:type="gramStart"/>
      <w:r>
        <w:t>course</w:t>
      </w:r>
      <w:proofErr w:type="gramEnd"/>
    </w:p>
    <w:p w14:paraId="528CECD0" w14:textId="35E8476C" w:rsidR="006B4C1A" w:rsidRDefault="006B4C1A" w:rsidP="006B4C1A">
      <w:pPr>
        <w:pStyle w:val="ListParagraph"/>
        <w:numPr>
          <w:ilvl w:val="2"/>
          <w:numId w:val="1"/>
        </w:numPr>
      </w:pPr>
      <w:r>
        <w:t xml:space="preserve">Art 2300 should be titled as “Two-Dimensional </w:t>
      </w:r>
      <w:proofErr w:type="gramStart"/>
      <w:r>
        <w:t>Studies</w:t>
      </w:r>
      <w:proofErr w:type="gramEnd"/>
      <w:r>
        <w:t xml:space="preserve">” </w:t>
      </w:r>
    </w:p>
    <w:p w14:paraId="0BD6B8EC" w14:textId="32865BC6" w:rsidR="006B4C1A" w:rsidRDefault="006B4C1A" w:rsidP="006B4C1A">
      <w:pPr>
        <w:pStyle w:val="ListParagraph"/>
        <w:numPr>
          <w:ilvl w:val="2"/>
          <w:numId w:val="1"/>
        </w:numPr>
      </w:pPr>
      <w:r>
        <w:t xml:space="preserve">Art 2400 should be titled as “3-Dimensional </w:t>
      </w:r>
      <w:proofErr w:type="gramStart"/>
      <w:r>
        <w:t>Studies</w:t>
      </w:r>
      <w:proofErr w:type="gramEnd"/>
      <w:r>
        <w:t xml:space="preserve">” </w:t>
      </w:r>
    </w:p>
    <w:p w14:paraId="0A43A409" w14:textId="05E2DF1B" w:rsidR="006B4C1A" w:rsidRDefault="006B4C1A" w:rsidP="006B4C1A">
      <w:pPr>
        <w:pStyle w:val="ListParagraph"/>
        <w:numPr>
          <w:ilvl w:val="2"/>
          <w:numId w:val="1"/>
        </w:numPr>
      </w:pPr>
      <w:r>
        <w:t xml:space="preserve">Art 4201 should be titled as “New Media </w:t>
      </w:r>
      <w:proofErr w:type="gramStart"/>
      <w:r>
        <w:t>Robotics</w:t>
      </w:r>
      <w:proofErr w:type="gramEnd"/>
      <w:r>
        <w:t xml:space="preserve">” </w:t>
      </w:r>
    </w:p>
    <w:p w14:paraId="698BB654" w14:textId="759CC29A" w:rsidR="006B4C1A" w:rsidRDefault="006B4C1A" w:rsidP="006B4C1A">
      <w:pPr>
        <w:pStyle w:val="ListParagraph"/>
        <w:numPr>
          <w:ilvl w:val="2"/>
          <w:numId w:val="1"/>
        </w:numPr>
      </w:pPr>
      <w:r>
        <w:t xml:space="preserve">Art 3003 should be titled as "Introduction to Glass </w:t>
      </w:r>
      <w:proofErr w:type="gramStart"/>
      <w:r>
        <w:t>Art</w:t>
      </w:r>
      <w:proofErr w:type="gramEnd"/>
      <w:r>
        <w:t xml:space="preserve">” </w:t>
      </w:r>
    </w:p>
    <w:p w14:paraId="249C2C4F" w14:textId="38810B24" w:rsidR="006B4C1A" w:rsidRDefault="006B4C1A" w:rsidP="006B4C1A">
      <w:pPr>
        <w:pStyle w:val="ListParagraph"/>
        <w:numPr>
          <w:ilvl w:val="2"/>
          <w:numId w:val="1"/>
        </w:numPr>
      </w:pPr>
      <w:r>
        <w:t xml:space="preserve">Art 2555 should be listed as 2555(H) to account for the Honors version of the </w:t>
      </w:r>
      <w:proofErr w:type="gramStart"/>
      <w:r>
        <w:t>course</w:t>
      </w:r>
      <w:proofErr w:type="gramEnd"/>
      <w:r>
        <w:t xml:space="preserve"> </w:t>
      </w:r>
    </w:p>
    <w:p w14:paraId="79D1DBF1" w14:textId="3C6DFDCA" w:rsidR="006B4C1A" w:rsidRDefault="00E175DC" w:rsidP="006B4C1A">
      <w:pPr>
        <w:pStyle w:val="ListParagraph"/>
        <w:numPr>
          <w:ilvl w:val="2"/>
          <w:numId w:val="1"/>
        </w:numPr>
      </w:pPr>
      <w:r>
        <w:t xml:space="preserve">Art 4007 should be titled as “Sculpture: Topics in Experiential Making: Structure, Space, and </w:t>
      </w:r>
      <w:proofErr w:type="gramStart"/>
      <w:r>
        <w:t>Material</w:t>
      </w:r>
      <w:proofErr w:type="gramEnd"/>
      <w:r>
        <w:t xml:space="preserve">” </w:t>
      </w:r>
    </w:p>
    <w:p w14:paraId="4913E92A" w14:textId="18093367" w:rsidR="00E175DC" w:rsidRDefault="00E175DC" w:rsidP="006B4C1A">
      <w:pPr>
        <w:pStyle w:val="ListParagraph"/>
        <w:numPr>
          <w:ilvl w:val="2"/>
          <w:numId w:val="1"/>
        </w:numPr>
      </w:pPr>
      <w:r>
        <w:t xml:space="preserve">Art 5007 should be titled as “Advanced Sculpture </w:t>
      </w:r>
      <w:proofErr w:type="gramStart"/>
      <w:r>
        <w:t>I</w:t>
      </w:r>
      <w:proofErr w:type="gramEnd"/>
      <w:r>
        <w:t xml:space="preserve">” </w:t>
      </w:r>
    </w:p>
    <w:p w14:paraId="586A86D4" w14:textId="1D596593" w:rsidR="00E175DC" w:rsidRPr="00FA211B" w:rsidRDefault="00E175DC" w:rsidP="00E175DC">
      <w:pPr>
        <w:pStyle w:val="ListParagraph"/>
        <w:numPr>
          <w:ilvl w:val="1"/>
          <w:numId w:val="1"/>
        </w:numPr>
      </w:pPr>
      <w:r>
        <w:t xml:space="preserve">Hedgecoth, Koehnlein, </w:t>
      </w:r>
      <w:r>
        <w:rPr>
          <w:b/>
          <w:bCs/>
        </w:rPr>
        <w:t xml:space="preserve">unanimously approved </w:t>
      </w:r>
      <w:r>
        <w:t xml:space="preserve">with one </w:t>
      </w:r>
      <w:proofErr w:type="gramStart"/>
      <w:r>
        <w:t>comment</w:t>
      </w:r>
      <w:proofErr w:type="gramEnd"/>
    </w:p>
    <w:sectPr w:rsidR="00E175DC" w:rsidRPr="00FA2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F337B"/>
    <w:multiLevelType w:val="hybridMultilevel"/>
    <w:tmpl w:val="6C182B6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C4E98"/>
    <w:multiLevelType w:val="hybridMultilevel"/>
    <w:tmpl w:val="B300B86A"/>
    <w:lvl w:ilvl="0" w:tplc="D4DC87C4">
      <w:start w:val="1"/>
      <w:numFmt w:val="decimal"/>
      <w:lvlText w:val="%1)"/>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8720124">
    <w:abstractNumId w:val="0"/>
  </w:num>
  <w:num w:numId="2" w16cid:durableId="1808007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1B"/>
    <w:rsid w:val="00160564"/>
    <w:rsid w:val="001C55D1"/>
    <w:rsid w:val="002E3BF1"/>
    <w:rsid w:val="00363CEB"/>
    <w:rsid w:val="00673049"/>
    <w:rsid w:val="006B4C1A"/>
    <w:rsid w:val="006E331B"/>
    <w:rsid w:val="007443F0"/>
    <w:rsid w:val="009D3134"/>
    <w:rsid w:val="00C86BF0"/>
    <w:rsid w:val="00CC457E"/>
    <w:rsid w:val="00CE540E"/>
    <w:rsid w:val="00D94880"/>
    <w:rsid w:val="00DF0FE2"/>
    <w:rsid w:val="00E05E45"/>
    <w:rsid w:val="00E175DC"/>
    <w:rsid w:val="00E644EC"/>
    <w:rsid w:val="00FA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6E36"/>
  <w15:chartTrackingRefBased/>
  <w15:docId w15:val="{796A49F1-38E1-4DC9-BFFC-5865D53D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11B"/>
    <w:pPr>
      <w:ind w:left="720"/>
      <w:contextualSpacing/>
    </w:pPr>
  </w:style>
  <w:style w:type="character" w:styleId="Hyperlink">
    <w:name w:val="Hyperlink"/>
    <w:basedOn w:val="DefaultParagraphFont"/>
    <w:uiPriority w:val="99"/>
    <w:unhideWhenUsed/>
    <w:rsid w:val="00FA211B"/>
    <w:rPr>
      <w:color w:val="0563C1" w:themeColor="hyperlink"/>
      <w:u w:val="single"/>
    </w:rPr>
  </w:style>
  <w:style w:type="character" w:styleId="UnresolvedMention">
    <w:name w:val="Unresolved Mention"/>
    <w:basedOn w:val="DefaultParagraphFont"/>
    <w:uiPriority w:val="99"/>
    <w:semiHidden/>
    <w:unhideWhenUsed/>
    <w:rsid w:val="00673049"/>
    <w:rPr>
      <w:color w:val="605E5C"/>
      <w:shd w:val="clear" w:color="auto" w:fill="E1DFDD"/>
    </w:rPr>
  </w:style>
  <w:style w:type="character" w:styleId="FollowedHyperlink">
    <w:name w:val="FollowedHyperlink"/>
    <w:basedOn w:val="DefaultParagraphFont"/>
    <w:uiPriority w:val="99"/>
    <w:semiHidden/>
    <w:unhideWhenUsed/>
    <w:rsid w:val="00DF0FE2"/>
    <w:rPr>
      <w:color w:val="954F72" w:themeColor="followedHyperlink"/>
      <w:u w:val="single"/>
    </w:rPr>
  </w:style>
  <w:style w:type="character" w:styleId="CommentReference">
    <w:name w:val="annotation reference"/>
    <w:basedOn w:val="DefaultParagraphFont"/>
    <w:uiPriority w:val="99"/>
    <w:semiHidden/>
    <w:unhideWhenUsed/>
    <w:rsid w:val="006E331B"/>
    <w:rPr>
      <w:sz w:val="16"/>
      <w:szCs w:val="16"/>
    </w:rPr>
  </w:style>
  <w:style w:type="paragraph" w:styleId="CommentText">
    <w:name w:val="annotation text"/>
    <w:basedOn w:val="Normal"/>
    <w:link w:val="CommentTextChar"/>
    <w:uiPriority w:val="99"/>
    <w:unhideWhenUsed/>
    <w:rsid w:val="006E331B"/>
    <w:pPr>
      <w:spacing w:line="240" w:lineRule="auto"/>
    </w:pPr>
    <w:rPr>
      <w:sz w:val="20"/>
      <w:szCs w:val="20"/>
    </w:rPr>
  </w:style>
  <w:style w:type="character" w:customStyle="1" w:styleId="CommentTextChar">
    <w:name w:val="Comment Text Char"/>
    <w:basedOn w:val="DefaultParagraphFont"/>
    <w:link w:val="CommentText"/>
    <w:uiPriority w:val="99"/>
    <w:rsid w:val="006E331B"/>
    <w:rPr>
      <w:sz w:val="20"/>
      <w:szCs w:val="20"/>
    </w:rPr>
  </w:style>
  <w:style w:type="paragraph" w:styleId="CommentSubject">
    <w:name w:val="annotation subject"/>
    <w:basedOn w:val="CommentText"/>
    <w:next w:val="CommentText"/>
    <w:link w:val="CommentSubjectChar"/>
    <w:uiPriority w:val="99"/>
    <w:semiHidden/>
    <w:unhideWhenUsed/>
    <w:rsid w:val="006E331B"/>
    <w:rPr>
      <w:b/>
      <w:bCs/>
    </w:rPr>
  </w:style>
  <w:style w:type="character" w:customStyle="1" w:styleId="CommentSubjectChar">
    <w:name w:val="Comment Subject Char"/>
    <w:basedOn w:val="CommentTextChar"/>
    <w:link w:val="CommentSubject"/>
    <w:uiPriority w:val="99"/>
    <w:semiHidden/>
    <w:rsid w:val="006E331B"/>
    <w:rPr>
      <w:b/>
      <w:bCs/>
      <w:sz w:val="20"/>
      <w:szCs w:val="20"/>
    </w:rPr>
  </w:style>
  <w:style w:type="paragraph" w:styleId="Revision">
    <w:name w:val="Revision"/>
    <w:hidden/>
    <w:uiPriority w:val="99"/>
    <w:semiHidden/>
    <w:rsid w:val="00160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hyperlink" Target="https://asccas.osu.edu/submission/development/submission-materials/syllabus-elements" TargetMode="External"/><Relationship Id="rId3" Type="http://schemas.openxmlformats.org/officeDocument/2006/relationships/settings" Target="settings.xml"/><Relationship Id="rId7" Type="http://schemas.openxmlformats.org/officeDocument/2006/relationships/hyperlink" Target="https://asccas.osu.edu/new-general-education-gen-goals-and-elos" TargetMode="External"/><Relationship Id="rId12"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legacy-general-education-gel-goals-and-elos" TargetMode="External"/><Relationship Id="rId11"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15" Type="http://schemas.openxmlformats.org/officeDocument/2006/relationships/theme" Target="theme/theme1.xml"/><Relationship Id="rId10"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9708</Characters>
  <Application>Microsoft Office Word</Application>
  <DocSecurity>0</DocSecurity>
  <Lines>242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2024-05-14T17:22:00Z</dcterms:created>
  <dcterms:modified xsi:type="dcterms:W3CDTF">2024-05-14T17:22:00Z</dcterms:modified>
</cp:coreProperties>
</file>